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ТАРИФЫ WHITEPAYMENTS</w:t>
      </w:r>
    </w:p>
    <w:p>
      <w:pPr>
        <w:jc w:val="center"/>
      </w:pPr>
      <w:r>
        <w:rPr>
          <w:i/>
          <w:color w:val="667085"/>
          <w:sz w:val="20"/>
        </w:rPr>
        <w:t>публичная информация о стоимости услуг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81"/>
        <w:gridCol w:w="6690"/>
      </w:tblGrid>
      <w:tr>
        <w:tc>
          <w:tcPr>
            <w:tcW w:type="dxa" w:w="4929"/>
            <w:shd w:fill="EEF3F8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Оператор / Компания</w:t>
            </w:r>
          </w:p>
        </w:tc>
        <w:tc>
          <w:tcPr>
            <w:tcW w:type="dxa" w:w="4929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ТОО «White Payments»</w:t>
            </w:r>
          </w:p>
        </w:tc>
      </w:tr>
      <w:tr>
        <w:tc>
          <w:tcPr>
            <w:tcW w:type="dxa" w:w="4929"/>
            <w:shd w:fill="EEF3F8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Редакция</w:t>
            </w:r>
          </w:p>
        </w:tc>
        <w:tc>
          <w:tcPr>
            <w:tcW w:type="dxa" w:w="4929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02 сентября 2026 года</w:t>
            </w:r>
          </w:p>
        </w:tc>
      </w:tr>
    </w:tbl>
    <w:p/>
    <w:p>
      <w:pPr>
        <w:pStyle w:val="Heading1"/>
      </w:pPr>
      <w:r>
        <w:t>1. Общий принцип</w:t>
      </w:r>
    </w:p>
    <w:p>
      <w:r>
        <w:t>1.1. Тарифы WhitePayments формируются индивидуально и предоставляются по запросу с учётом бизнес-модели Мерчанта, географии, способов оплаты, валют, оборота, среднего чека, риск-профиля, требований интеграции и условий Платёжных партнёров.</w:t>
      </w:r>
    </w:p>
    <w:p>
      <w:r>
        <w:t>1.2. Публикация настоящего документа не означает установление единой комиссии для всех Мерчантов.</w:t>
      </w:r>
    </w:p>
    <w:p>
      <w:pPr>
        <w:pStyle w:val="Heading1"/>
      </w:pPr>
      <w:r>
        <w:t>2. Что может входить в стоимость</w:t>
      </w:r>
    </w:p>
    <w:p>
      <w:pPr>
        <w:pStyle w:val="ListBullet"/>
      </w:pPr>
      <w:r>
        <w:t>подключение и интеграция API / Hosted Payment Page / платёжных модулей;</w:t>
      </w:r>
    </w:p>
    <w:p>
      <w:pPr>
        <w:pStyle w:val="ListBullet"/>
      </w:pPr>
      <w:r>
        <w:t>техническая обработка и маршрутизация транзакций;</w:t>
      </w:r>
    </w:p>
    <w:p>
      <w:pPr>
        <w:pStyle w:val="ListBullet"/>
      </w:pPr>
      <w:r>
        <w:t>доступ к личному кабинету, отчётности, сверке и уведомлениям;</w:t>
      </w:r>
    </w:p>
    <w:p>
      <w:pPr>
        <w:pStyle w:val="ListBullet"/>
      </w:pPr>
      <w:r>
        <w:t>использование отдельных платёжных методов и каналов;</w:t>
      </w:r>
    </w:p>
    <w:p>
      <w:pPr>
        <w:pStyle w:val="ListBullet"/>
      </w:pPr>
      <w:r>
        <w:t>выплаты, возвраты и иные операции — при их доступности;</w:t>
      </w:r>
    </w:p>
    <w:p>
      <w:pPr>
        <w:pStyle w:val="ListBullet"/>
      </w:pPr>
      <w:r>
        <w:t>antifraud, дополнительные правила риска и расширенная аналитика;</w:t>
      </w:r>
    </w:p>
    <w:p>
      <w:pPr>
        <w:pStyle w:val="ListBullet"/>
      </w:pPr>
      <w:r>
        <w:t>кастомизация, dedicated-инфраструктура, SLA и техническая поддержка;</w:t>
      </w:r>
    </w:p>
    <w:p>
      <w:pPr>
        <w:pStyle w:val="ListBullet"/>
      </w:pPr>
      <w:r>
        <w:t>комиссии банков, платёжных систем и иных Платёжных партнёров.</w:t>
      </w:r>
    </w:p>
    <w:p>
      <w:pPr>
        <w:pStyle w:val="Heading1"/>
      </w:pPr>
      <w:r>
        <w:t>3. Публичная формулировка для сайта</w:t>
      </w:r>
    </w:p>
    <w:p>
      <w:r>
        <w:rPr>
          <w:b/>
          <w:color w:val="1F3A5F"/>
          <w:sz w:val="28"/>
        </w:rPr>
        <w:t>Тарифы — по запросу.</w:t>
      </w:r>
    </w:p>
    <w:p>
      <w:r>
        <w:t>Стоимость зависит от объёма и структуры платежей, географии, используемых платёжных методов и требований к интеграции. Оставьте заявку — мы подготовим индивидуальное коммерческое предложение.</w:t>
      </w:r>
    </w:p>
    <w:p>
      <w:pPr>
        <w:pStyle w:val="Heading1"/>
      </w:pPr>
      <w:r>
        <w:t>4. Запрос тарифа</w:t>
      </w:r>
    </w:p>
    <w:p>
      <w:r>
        <w:t>Для получения коммерческого предложения направьте запрос через форму на https://whitepayments.net или по адресу info@whitepayments.net. В запросе желательно указать страну регистрации, сайт/приложение, сферу деятельности, предполагаемый месячный оборот, средний чек, валюты и интересующие способы оплаты.</w:t>
      </w:r>
    </w:p>
    <w:p>
      <w:pPr>
        <w:pStyle w:val="Heading1"/>
      </w:pPr>
      <w:r>
        <w:t>5. Изменение тарифа</w:t>
      </w:r>
    </w:p>
    <w:p>
      <w:r>
        <w:t>5.1. Индивидуальный тариф фиксируется в коммерческом предложении, заявке, договоре или дополнительном соглашении. Изменения применяются в порядке уведомления, установленном соответствующим документом.</w:t>
      </w:r>
    </w:p>
    <w:p>
      <w:r>
        <w:t>5.2. Комиссии внешних банков, платёжных систем и иных поставщиков могут меняться независимо от WhitePayments. Если такое изменение влияет на стоимость Сервиса, WhitePayments уведомляет Мерчанта в соответствии с договорными условиями.</w:t>
      </w:r>
    </w:p>
    <w:p>
      <w:pPr>
        <w:pStyle w:val="Heading1"/>
      </w:pPr>
      <w:r>
        <w:t>6. Реквизиты</w:t>
      </w:r>
    </w:p>
    <w:p>
      <w:r>
        <w:t>ТОО «White Payments», БИН 250440010190. Адрес: Республика Казахстан, г. Шымкент, Енбекшинский район, проспект Жибек жолы, дом 50. Сайт: https://whitepayments.net. Email: info@whitepayments.net.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50" w:right="1191" w:bottom="850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67085"/>
        <w:sz w:val="16"/>
      </w:rPr>
      <w:t>ТОО «White Payments» • БИН 250440010190 • https://whitepayments.net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/>
        <w:b/>
        <w:color w:val="1F3A5F"/>
        <w:sz w:val="18"/>
      </w:rPr>
      <w:t>WHITEPAYMENTS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 w:line="250" w:lineRule="auto"/>
    </w:pPr>
    <w:rPr>
      <w:rFonts w:ascii="Arial" w:hAnsi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00" w:after="40"/>
      <w:outlineLvl w:val="0"/>
    </w:pPr>
    <w:rPr>
      <w:rFonts w:asciiTheme="majorHAnsi" w:eastAsiaTheme="majorEastAsia" w:hAnsiTheme="majorHAnsi" w:cstheme="majorBidi" w:ascii="Arial" w:hAnsi="Arial"/>
      <w:b/>
      <w:bCs/>
      <w:color w:val="1F3A5F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40"/>
      <w:outlineLvl w:val="1"/>
    </w:pPr>
    <w:rPr>
      <w:rFonts w:asciiTheme="majorHAnsi" w:eastAsiaTheme="majorEastAsia" w:hAnsiTheme="majorHAnsi" w:cstheme="majorBidi" w:ascii="Arial" w:hAnsi="Arial"/>
      <w:b/>
      <w:bCs/>
      <w:color w:val="1F3A5F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3A5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1F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rial" w:hAnsi="Arial"/>
      <w:color w:val="66708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