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jc w:val="center"/>
      </w:pPr>
      <w:r>
        <w:t>ПУБЛИЧНАЯ ОФЕРТА ДЛЯ МЕРЧАНТОВ</w:t>
      </w:r>
    </w:p>
    <w:p>
      <w:pPr>
        <w:jc w:val="center"/>
      </w:pPr>
      <w:r>
        <w:rPr>
          <w:i/>
          <w:color w:val="667085"/>
          <w:sz w:val="20"/>
        </w:rPr>
        <w:t>об условиях предоставления технологических и связанных с ними сервисов WhitePayments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381"/>
        <w:gridCol w:w="6690"/>
      </w:tblGrid>
      <w:tr>
        <w:tc>
          <w:tcPr>
            <w:tcW w:type="dxa" w:w="4929"/>
            <w:shd w:fill="EEF3F8"/>
            <w:vAlign w:val="center"/>
          </w:tcPr>
          <w:p>
            <w:pPr>
              <w:spacing w:after="0"/>
            </w:pPr>
            <w:r>
              <w:rPr>
                <w:rFonts w:ascii="Arial" w:hAnsi="Arial"/>
                <w:sz w:val="18"/>
              </w:rPr>
              <w:t>Оператор / Компания</w:t>
            </w:r>
          </w:p>
        </w:tc>
        <w:tc>
          <w:tcPr>
            <w:tcW w:type="dxa" w:w="4929"/>
            <w:vAlign w:val="center"/>
          </w:tcPr>
          <w:p>
            <w:pPr>
              <w:spacing w:after="0"/>
            </w:pPr>
            <w:r>
              <w:rPr>
                <w:rFonts w:ascii="Arial" w:hAnsi="Arial"/>
                <w:sz w:val="18"/>
              </w:rPr>
              <w:t>ТОО «White Payments»</w:t>
            </w:r>
          </w:p>
        </w:tc>
      </w:tr>
      <w:tr>
        <w:tc>
          <w:tcPr>
            <w:tcW w:type="dxa" w:w="4929"/>
            <w:shd w:fill="EEF3F8"/>
            <w:vAlign w:val="center"/>
          </w:tcPr>
          <w:p>
            <w:pPr>
              <w:spacing w:after="0"/>
            </w:pPr>
            <w:r>
              <w:rPr>
                <w:rFonts w:ascii="Arial" w:hAnsi="Arial"/>
                <w:sz w:val="18"/>
              </w:rPr>
              <w:t>Редакция</w:t>
            </w:r>
          </w:p>
        </w:tc>
        <w:tc>
          <w:tcPr>
            <w:tcW w:type="dxa" w:w="4929"/>
            <w:vAlign w:val="center"/>
          </w:tcPr>
          <w:p>
            <w:pPr>
              <w:spacing w:after="0"/>
            </w:pPr>
            <w:r>
              <w:rPr>
                <w:rFonts w:ascii="Arial" w:hAnsi="Arial"/>
                <w:sz w:val="18"/>
              </w:rPr>
              <w:t>02 сентября 2026 года</w:t>
            </w:r>
          </w:p>
        </w:tc>
      </w:tr>
    </w:tbl>
    <w:p/>
    <w:p>
      <w:pPr>
        <w:pStyle w:val="Heading1"/>
      </w:pPr>
      <w:r>
        <w:t>1. Общие положения</w:t>
      </w:r>
    </w:p>
    <w:p>
      <w:r>
        <w:t>1.1. Настоящая публичная оферта (далее — «Оферта») определяет общие условия взаимодействия между Товарищество с ограниченной ответственностью «White Payments», БИН 250440010190, местонахождение: Республика Казахстан, г. Шымкент, Енбекшинский район, проспект Жибек жолы, дом 50 (далее — «WhitePayments», «Компания»), и юридическим лицом либо индивидуальным предпринимателем, присоединившимся к Оферте (далее — «Мерчант»).</w:t>
      </w:r>
    </w:p>
    <w:p>
      <w:r>
        <w:t>1.2. Оферта применяется совместно с индивидуальными коммерческими условиями, заявкой на подключение, технической документацией, тарифами, политиками WhitePayments и иными документами, прямо включёнными в договорные отношения сторон.</w:t>
      </w:r>
    </w:p>
    <w:p>
      <w:r>
        <w:t>1.3. Акцептом Оферты является совершение Мерчантом одного или нескольких действий: подписание заявки/анкеты/заказа на подключение; подтверждение согласия в личном кабинете или электронной форме; начало фактического использования Сервиса после предоставления доступа. Если стороны подписали отдельный договор, его условия имеют приоритет над настоящей Офертой.</w:t>
      </w:r>
    </w:p>
    <w:p>
      <w:r>
        <w:t>1.4. WhitePayments вправе привлекать банки, платёжные сервисы, организации, осуществляющие отдельные виды банковских операций, процессинговые центры, операторов платёжных систем и иных третьих лиц, обладающих необходимыми разрешениями и техническими возможностями.</w:t>
      </w:r>
    </w:p>
    <w:p>
      <w:r>
        <w:t>1.5. Если конкретная операция по закону относится к лицензируемой или иной регулируемой платёжной услуге, такая операция осуществляется WhitePayments только при наличии необходимого права на её осуществление либо соответствующим уполномоченным поставщиком. Настоящая Оферта сама по себе не является заявлением о наличии у WhitePayments банковской лицензии или иного регуляторного статуса, который прямо не указан на Сайте.</w:t>
      </w:r>
    </w:p>
    <w:p>
      <w:pPr>
        <w:pStyle w:val="Heading1"/>
      </w:pPr>
      <w:r>
        <w:t>2. Термины</w:t>
      </w:r>
    </w:p>
    <w:p>
      <w:pPr>
        <w:pStyle w:val="ListBullet"/>
      </w:pPr>
      <w:r>
        <w:t>«Сервис» — программно-техническая инфраструктура WhitePayments, API, личный кабинет, платёжные модули, маршрутизация, обработка и передача данных, аналитика, сверка, уведомления и иные согласованные функции.</w:t>
      </w:r>
    </w:p>
    <w:p>
      <w:pPr>
        <w:pStyle w:val="ListBullet"/>
      </w:pPr>
      <w:r>
        <w:t>«Платёжный партнёр» — банк, платёжный сервис, эквайер, процессор или иной поставщик, фактически осуществляющий регулируемую платёжную операцию.</w:t>
      </w:r>
    </w:p>
    <w:p>
      <w:pPr>
        <w:pStyle w:val="ListBullet"/>
      </w:pPr>
      <w:r>
        <w:t>«Плательщик» — физическое или юридическое лицо, инициирующее оплату товаров/работ/услуг Мерчанта.</w:t>
      </w:r>
    </w:p>
    <w:p>
      <w:pPr>
        <w:pStyle w:val="ListBullet"/>
      </w:pPr>
      <w:r>
        <w:t>«Транзакция» — электронная операция или информационное сообщение об операции, обрабатываемое в рамках Сервиса.</w:t>
      </w:r>
    </w:p>
    <w:p>
      <w:pPr>
        <w:pStyle w:val="ListBullet"/>
      </w:pPr>
      <w:r>
        <w:t>«Chargeback / спорная операция» — оспаривание платежа плательщиком, банком, платёжной системой либо иным участником расчётов.</w:t>
      </w:r>
    </w:p>
    <w:p>
      <w:pPr>
        <w:pStyle w:val="Heading1"/>
      </w:pPr>
      <w:r>
        <w:t>3. Предмет Оферты</w:t>
      </w:r>
    </w:p>
    <w:p>
      <w:r>
        <w:t>3.1. WhitePayments предоставляет Мерчанту доступ к Сервису для интеграции платёжных сценариев, информационно-технического взаимодействия с Платёжными партнёрами, обработки и передачи платёжных данных, получения статусов операций, аналитики, сверки и иных согласованных функций.</w:t>
      </w:r>
    </w:p>
    <w:p>
      <w:r>
        <w:t>3.2. Конкретный перечень платёжных методов, валют, стран, лимитов, сроков расчётов и доступных функций определяется технической возможностью, комплаенс-требованиями и условиями Платёжных партнёров.</w:t>
      </w:r>
    </w:p>
    <w:p>
      <w:r>
        <w:t>3.3. Если иное прямо не согласовано, WhitePayments не является продавцом товаров/работ/услуг Мерчанта, не определяет их качество и цену и не несёт обязанностей продавца перед Плательщиком.</w:t>
      </w:r>
    </w:p>
    <w:p>
      <w:pPr>
        <w:pStyle w:val="Heading1"/>
      </w:pPr>
      <w:r>
        <w:t>4. Подключение и проверка Мерчанта</w:t>
      </w:r>
    </w:p>
    <w:p>
      <w:r>
        <w:t>4.1. До подключения и в течение срока сотрудничества WhitePayments вправе запросить регистрационные документы, сведения о бенефициарах и руководителях, лицензии/разрешения, сведения о сайте и бизнес-модели, источниках средств, финансовых потоках и иные сведения, необходимые для KYC/KYB/AML, санкционного и риск-контроля.</w:t>
      </w:r>
    </w:p>
    <w:p>
      <w:r>
        <w:t>4.2. WhitePayments вправе отказать в подключении либо ограничить отдельные функции без раскрытия внутренней методологии риск-оценки, если это требуется законом, правилами Платёжного партнёра или системой управления рисками.</w:t>
      </w:r>
    </w:p>
    <w:p>
      <w:pPr>
        <w:pStyle w:val="Heading1"/>
      </w:pPr>
      <w:r>
        <w:t>5. Обязанности Мерчанта</w:t>
      </w:r>
    </w:p>
    <w:p>
      <w:pPr>
        <w:pStyle w:val="ListBullet"/>
      </w:pPr>
      <w:r>
        <w:t>использовать Сервис только для заявленной и согласованной деятельности;</w:t>
      </w:r>
    </w:p>
    <w:p>
      <w:pPr>
        <w:pStyle w:val="ListBullet"/>
      </w:pPr>
      <w:r>
        <w:t>предоставлять достоверные сведения и своевременно уведомлять об их изменении;</w:t>
      </w:r>
    </w:p>
    <w:p>
      <w:pPr>
        <w:pStyle w:val="ListBullet"/>
      </w:pPr>
      <w:r>
        <w:t>обеспечивать наличие на своём сайте/в приложении информации о продавце, товарах/услугах, цене, порядке оплаты, возврата, доставки и рассмотрения претензий;</w:t>
      </w:r>
    </w:p>
    <w:p>
      <w:pPr>
        <w:pStyle w:val="ListBullet"/>
      </w:pPr>
      <w:r>
        <w:t>не проводить фиктивные, незаконные, запрещённые, транзитные или направленные на обход ограничений операции;</w:t>
      </w:r>
    </w:p>
    <w:p>
      <w:pPr>
        <w:pStyle w:val="ListBullet"/>
      </w:pPr>
      <w:r>
        <w:t>не передавать третьим лицам ключи API, пароли и иные средства доступа;</w:t>
      </w:r>
    </w:p>
    <w:p>
      <w:pPr>
        <w:pStyle w:val="ListBullet"/>
      </w:pPr>
      <w:r>
        <w:t>соблюдать применимые требования по персональным данным, защите информации, рекламе, защите потребителей и правила платёжных систем;</w:t>
      </w:r>
    </w:p>
    <w:p>
      <w:pPr>
        <w:pStyle w:val="ListBullet"/>
      </w:pPr>
      <w:r>
        <w:t>оперативно предоставлять документы по спорным операциям, возвратам, fraud/chargeback и запросам комплаенса.</w:t>
      </w:r>
    </w:p>
    <w:p>
      <w:pPr>
        <w:pStyle w:val="Heading1"/>
      </w:pPr>
      <w:r>
        <w:t>6. Приостановление и ограничения</w:t>
      </w:r>
    </w:p>
    <w:p>
      <w:r>
        <w:t>6.1. WhitePayments вправе приостановить приём или обработку операций, отключить отдельный метод, установить резерв/лимит либо временно ограничить доступ при подозрении на мошенничество, нарушение закона/правил партнёра, резком изменении профиля операций, компрометации доступа, повышенном уровне возвратов/chargeback или непредоставлении запрошенных документов.</w:t>
      </w:r>
    </w:p>
    <w:p>
      <w:r>
        <w:t>6.2. Если это допустимо законом и правилами партнёров, WhitePayments уведомляет Мерчанта об ограничении и запрашивает сведения, необходимые для пересмотра решения.</w:t>
      </w:r>
    </w:p>
    <w:p>
      <w:pPr>
        <w:pStyle w:val="Heading1"/>
      </w:pPr>
      <w:r>
        <w:t>7. Расчёты, комиссии и тарифы</w:t>
      </w:r>
    </w:p>
    <w:p>
      <w:r>
        <w:t>7.1. Размер комиссий и иных платежей определяется индивидуальным коммерческим предложением, заявкой, дополнительным соглашением либо действующей страницей «Тарифы». Если публичная ставка не указана, тариф предоставляется по запросу.</w:t>
      </w:r>
    </w:p>
    <w:p>
      <w:r>
        <w:t>7.2. Комиссии Платёжных партнёров, платёжных систем, конвертация, chargeback, возвраты, штрафы и иные расходы могут учитываться отдельно, если это предусмотрено индивидуальными условиями.</w:t>
      </w:r>
    </w:p>
    <w:p>
      <w:pPr>
        <w:pStyle w:val="Heading1"/>
      </w:pPr>
      <w:r>
        <w:t>8. Возвраты и споры</w:t>
      </w:r>
    </w:p>
    <w:p>
      <w:r>
        <w:t>8.1. Возврат Плательщику производится в соответствии с Политикой возвратов и порядком рассмотрения споров WhitePayments, правилами Мерчанта и применимым законодательством. Экономическая обязанность по возврату стоимости товара/услуги лежит на Мерчанте, если иное не вытекает из закона или отдельного соглашения.</w:t>
      </w:r>
    </w:p>
    <w:p>
      <w:r>
        <w:t>8.2. WhitePayments вправе списать/удержать суммы возвратов, chargeback, комиссий и связанных расходов из сумм, подлежащих перечислению Мерчанту, если это предусмотрено индивидуальными условиями или правилами Платёжного партнёра.</w:t>
      </w:r>
    </w:p>
    <w:p>
      <w:pPr>
        <w:pStyle w:val="Heading1"/>
      </w:pPr>
      <w:r>
        <w:t>9. Информационная безопасность и персональные данные</w:t>
      </w:r>
    </w:p>
    <w:p>
      <w:r>
        <w:t>9.1. Стороны обязуются применять разумные организационные и технические меры защиты данных. Мерчант не должен передавать WhitePayments данные платёжных карт иначе чем через предусмотренные защищённые интерфейсы.</w:t>
      </w:r>
    </w:p>
    <w:p>
      <w:r>
        <w:t>9.2. Обработка персональных данных осуществляется в соответствии с Политикой конфиденциальности и обработки персональных данных WhitePayments и применимым законодательством Республики Казахстан.</w:t>
      </w:r>
    </w:p>
    <w:p>
      <w:pPr>
        <w:pStyle w:val="Heading1"/>
      </w:pPr>
      <w:r>
        <w:t>10. Ответственность</w:t>
      </w:r>
    </w:p>
    <w:p>
      <w:r>
        <w:t>10.1. Стороны отвечают за нарушение обязательств в пределах документально подтверждённого прямого ущерба, если иное не установлено законом или индивидуальными условиями.</w:t>
      </w:r>
    </w:p>
    <w:p>
      <w:r>
        <w:t>10.2. WhitePayments не несёт ответственности за сбои банков, платёжных систем, связи, оборудования Мерчанта, внешних провайдеров, действия государственных органов, санкционные/регуляторные ограничения и иные обстоятельства вне разумного контроля WhitePayments.</w:t>
      </w:r>
    </w:p>
    <w:p>
      <w:r>
        <w:t>10.3. WhitePayments не гарантирует одобрение каждой Транзакции: окончательное решение может зависеть от банка-эмитента, эквайера, платёжной системы, антифрод-систем и иных участников.</w:t>
      </w:r>
    </w:p>
    <w:p>
      <w:pPr>
        <w:pStyle w:val="Heading1"/>
      </w:pPr>
      <w:r>
        <w:t>11. Конфиденциальность</w:t>
      </w:r>
    </w:p>
    <w:p>
      <w:r>
        <w:t>11.1. Непубличная коммерческая, техническая, финансовая и иная информация сторон является конфиденциальной и не раскрывается третьим лицам, кроме случаев, необходимых для исполнения договора, требований закона, суда, регулятора, банка/платёжного партнёра или с согласия другой стороны.</w:t>
      </w:r>
    </w:p>
    <w:p>
      <w:pPr>
        <w:pStyle w:val="Heading1"/>
      </w:pPr>
      <w:r>
        <w:t>12. Срок действия и прекращение</w:t>
      </w:r>
    </w:p>
    <w:p>
      <w:r>
        <w:t>12.1. Оферта действует с момента акцепта до прекращения доступа к Сервису и исполнения взаимных обязательств.</w:t>
      </w:r>
    </w:p>
    <w:p>
      <w:r>
        <w:t>12.2. Каждая сторона вправе прекратить сотрудничество в порядке, установленном индивидуальными условиями. WhitePayments вправе прекратить обслуживание немедленно при существенном нарушении, незаконной деятельности, санкционном/AML-риске либо требовании Платёжного партнёра или компетентного органа.</w:t>
      </w:r>
    </w:p>
    <w:p>
      <w:pPr>
        <w:pStyle w:val="Heading1"/>
      </w:pPr>
      <w:r>
        <w:t>13. Изменение Оферты</w:t>
      </w:r>
    </w:p>
    <w:p>
      <w:r>
        <w:t>13.1. WhitePayments вправе изменять Оферту, публикуя новую редакцию на Сайте. Существенные изменения применяются с даты, указанной в новой редакции, если иной порядок уведомления не согласован с Мерчантом.</w:t>
      </w:r>
    </w:p>
    <w:p>
      <w:pPr>
        <w:pStyle w:val="Heading1"/>
      </w:pPr>
      <w:r>
        <w:t>14. Применимое право и споры</w:t>
      </w:r>
    </w:p>
    <w:p>
      <w:r>
        <w:t>14.1. К Оферте применяется право Республики Казахстан.</w:t>
      </w:r>
    </w:p>
    <w:p>
      <w:r>
        <w:t>14.2. До обращения в суд сторона направляет письменную претензию. Срок ответа — 15 рабочих дней, если иной срок не установлен законом или индивидуальными условиями. Неурегулированный спор рассматривается в компетентном суде Республики Казахстан по месту нахождения WhitePayments, если императивные нормы не устанавливают иную подсудность.</w:t>
      </w:r>
    </w:p>
    <w:p>
      <w:pPr>
        <w:pStyle w:val="Heading1"/>
      </w:pPr>
      <w:r>
        <w:t>15. Реквизиты WhitePayments</w:t>
      </w: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4929"/>
        <w:gridCol w:w="4929"/>
      </w:tblGrid>
      <w:tr>
        <w:tc>
          <w:tcPr>
            <w:tcW w:type="dxa" w:w="4929"/>
            <w:shd w:fill="EEF3F8"/>
          </w:tcPr>
          <w:p>
            <w:r>
              <w:t>Наименование</w:t>
            </w:r>
          </w:p>
        </w:tc>
        <w:tc>
          <w:tcPr>
            <w:tcW w:type="dxa" w:w="4929"/>
          </w:tcPr>
          <w:p>
            <w:r>
              <w:t>Товарищество с ограниченной ответственностью «White Payments»</w:t>
            </w:r>
          </w:p>
        </w:tc>
      </w:tr>
      <w:tr>
        <w:tc>
          <w:tcPr>
            <w:tcW w:type="dxa" w:w="4929"/>
            <w:shd w:fill="EEF3F8"/>
          </w:tcPr>
          <w:p>
            <w:r>
              <w:t>БИН</w:t>
            </w:r>
          </w:p>
        </w:tc>
        <w:tc>
          <w:tcPr>
            <w:tcW w:type="dxa" w:w="4929"/>
          </w:tcPr>
          <w:p>
            <w:r>
              <w:t>250440010190</w:t>
            </w:r>
          </w:p>
        </w:tc>
      </w:tr>
      <w:tr>
        <w:tc>
          <w:tcPr>
            <w:tcW w:type="dxa" w:w="4929"/>
            <w:shd w:fill="EEF3F8"/>
          </w:tcPr>
          <w:p>
            <w:r>
              <w:t>Адрес</w:t>
            </w:r>
          </w:p>
        </w:tc>
        <w:tc>
          <w:tcPr>
            <w:tcW w:type="dxa" w:w="4929"/>
          </w:tcPr>
          <w:p>
            <w:r>
              <w:t>Республика Казахстан, г. Шымкент, Енбекшинский район, проспект Жибек жолы, дом 50</w:t>
            </w:r>
          </w:p>
        </w:tc>
      </w:tr>
      <w:tr>
        <w:tc>
          <w:tcPr>
            <w:tcW w:type="dxa" w:w="4929"/>
            <w:shd w:fill="EEF3F8"/>
          </w:tcPr>
          <w:p>
            <w:r>
              <w:t>Сайт</w:t>
            </w:r>
          </w:p>
        </w:tc>
        <w:tc>
          <w:tcPr>
            <w:tcW w:type="dxa" w:w="4929"/>
          </w:tcPr>
          <w:p>
            <w:r>
              <w:t>https://whitepayments.net</w:t>
            </w:r>
          </w:p>
        </w:tc>
      </w:tr>
      <w:tr>
        <w:tc>
          <w:tcPr>
            <w:tcW w:type="dxa" w:w="4929"/>
            <w:shd w:fill="EEF3F8"/>
          </w:tcPr>
          <w:p>
            <w:r>
              <w:t>Email</w:t>
            </w:r>
          </w:p>
        </w:tc>
        <w:tc>
          <w:tcPr>
            <w:tcW w:type="dxa" w:w="4929"/>
          </w:tcPr>
          <w:p>
            <w:r>
              <w:t>info@whitepayments.net</w:t>
            </w:r>
          </w:p>
        </w:tc>
      </w:tr>
      <w:tr>
        <w:tc>
          <w:tcPr>
            <w:tcW w:type="dxa" w:w="4929"/>
            <w:shd w:fill="EEF3F8"/>
          </w:tcPr>
          <w:p>
            <w:r>
              <w:t>Право</w:t>
            </w:r>
          </w:p>
        </w:tc>
        <w:tc>
          <w:tcPr>
            <w:tcW w:type="dxa" w:w="4929"/>
          </w:tcPr>
          <w:p>
            <w:r>
              <w:t>Республика Казахстан</w:t>
            </w:r>
          </w:p>
        </w:tc>
      </w:tr>
    </w:tbl>
    <w:sectPr w:rsidR="00FC693F" w:rsidRPr="0006063C" w:rsidSect="00034616">
      <w:headerReference w:type="default" r:id="rId9"/>
      <w:footerReference w:type="default" r:id="rId10"/>
      <w:pgSz w:w="12240" w:h="15840"/>
      <w:pgMar w:top="964" w:right="1191" w:bottom="964" w:left="119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rFonts w:ascii="Arial" w:hAnsi="Arial"/>
        <w:color w:val="667085"/>
        <w:sz w:val="16"/>
      </w:rPr>
      <w:t>ТОО «White Payments» • БИН 250440010190 • https://whitepayments.net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jc w:val="right"/>
    </w:pPr>
    <w:r>
      <w:rPr>
        <w:rFonts w:ascii="Arial" w:hAnsi="Arial"/>
        <w:b/>
        <w:color w:val="1F3A5F"/>
        <w:sz w:val="18"/>
      </w:rPr>
      <w:t>WHITEPAYMENTS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6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Arial" w:hAnsi="Arial"/>
      <w:b/>
      <w:bCs/>
      <w:color w:val="1F3A5F"/>
      <w:sz w:val="27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Arial" w:hAnsi="Arial"/>
      <w:b/>
      <w:bCs/>
      <w:color w:val="1F3A5F"/>
      <w:sz w:val="23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 w:ascii="Arial" w:hAnsi="Arial"/>
      <w:b/>
      <w:bCs/>
      <w:color w:val="1F3A5F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1F3A5F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Small">
    <w:name w:val="Small"/>
    <w:rPr>
      <w:rFonts w:ascii="Arial" w:hAnsi="Arial"/>
      <w:color w:val="667085"/>
      <w:sz w:val="17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